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16" w:rsidRPr="008F03F6" w:rsidRDefault="00DC5C16" w:rsidP="009B6A09">
      <w:pPr>
        <w:jc w:val="center"/>
        <w:rPr>
          <w:rFonts w:ascii="Arial" w:hAnsi="Arial" w:cs="Arial"/>
          <w:b/>
          <w:i w:val="0"/>
          <w:sz w:val="32"/>
          <w:lang w:val="cs-CZ"/>
        </w:rPr>
      </w:pPr>
      <w:r w:rsidRPr="008F03F6">
        <w:rPr>
          <w:rFonts w:ascii="Arial" w:hAnsi="Arial" w:cs="Arial"/>
          <w:b/>
          <w:i w:val="0"/>
          <w:sz w:val="32"/>
          <w:lang w:val="cs-CZ"/>
        </w:rPr>
        <w:t>Návod na použití free TRADE MT4 Package</w:t>
      </w:r>
    </w:p>
    <w:p w:rsidR="00DC5C16" w:rsidRPr="008F03F6" w:rsidRDefault="00DC5C16">
      <w:pPr>
        <w:rPr>
          <w:rFonts w:ascii="Arial" w:hAnsi="Arial" w:cs="Arial"/>
          <w:i w:val="0"/>
          <w:lang w:val="cs-CZ"/>
        </w:rPr>
      </w:pPr>
    </w:p>
    <w:p w:rsidR="00DC5C16" w:rsidRPr="008F03F6" w:rsidRDefault="00DC5C16">
      <w:p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b/>
          <w:i w:val="0"/>
          <w:lang w:val="cs-CZ"/>
        </w:rPr>
        <w:t>TRADE MT4 Package</w:t>
      </w:r>
      <w:r w:rsidRPr="008F03F6">
        <w:rPr>
          <w:rFonts w:ascii="Arial" w:hAnsi="Arial" w:cs="Arial"/>
          <w:i w:val="0"/>
          <w:lang w:val="cs-CZ"/>
        </w:rPr>
        <w:t xml:space="preserve"> je určený na ruční obchodování s použitím myši. Obsahuje expertního poradce </w:t>
      </w:r>
      <w:r w:rsidRPr="008F03F6">
        <w:rPr>
          <w:rFonts w:ascii="Arial" w:hAnsi="Arial" w:cs="Arial"/>
          <w:b/>
          <w:i w:val="0"/>
          <w:lang w:val="cs-CZ"/>
        </w:rPr>
        <w:t>TRADE</w:t>
      </w:r>
      <w:r w:rsidRPr="008F03F6">
        <w:rPr>
          <w:rFonts w:ascii="Arial" w:hAnsi="Arial" w:cs="Arial"/>
          <w:i w:val="0"/>
          <w:lang w:val="cs-CZ"/>
        </w:rPr>
        <w:t xml:space="preserve">, který primárně  vykonává funkci Money Managementu otevřených obchodů a čekajících objednávek v celém portfoliu obchodů. Samotné obchody neotvírá a nenastavuje čekající objednávky.  Sleduje vývoj ceny tak jak se mění v čase a upravuje pozice Vašich otevřených obchodů a čekajících objednávek u brokera. Při ruční anebo automatizované změně velikosti SL upravuje objem obchodu v čekajících objednávkách.  </w:t>
      </w:r>
    </w:p>
    <w:p w:rsidR="00DC5C16" w:rsidRPr="008F03F6" w:rsidRDefault="00DC5C16">
      <w:p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Skripty a expertní poradci TRADE jsou vnitřně provázané a zajišťují vnitřní kontinuitu při výpočtech velikosti obchodu pomocí vestavěného MM a komunikaci MT4 s brokerem.</w:t>
      </w:r>
    </w:p>
    <w:p w:rsidR="00DC5C16" w:rsidRPr="008F03F6" w:rsidRDefault="00DC5C16">
      <w:p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Pokud použijete EA TRADE ve více arších, dokonce na mnohých indexech, je zajištěná jejich vzájemná spolupráce pro komplexní MM zahrnují Vaše obchodování na MT4 a velikost každého dalšího obchodu  / objednávky otvírané pomocí skriptu entry je počítaná automatizované podle parametrů MM.</w:t>
      </w:r>
    </w:p>
    <w:p w:rsidR="00DC5C16" w:rsidRPr="008F03F6" w:rsidRDefault="00DC5C16">
      <w:p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EA TRADE umožňuje využívat v otvíraných obchodů Magic Number, který se zadává v TRADE jako parametr přednastavený na hodnotu 315. Změnou MN na libovolnou hodnotu se umožní použití TRADE pro různé obchodní strategie na jednom instrumentu v různých Time Frame.</w:t>
      </w:r>
    </w:p>
    <w:p w:rsidR="00DC5C16" w:rsidRPr="008F03F6" w:rsidRDefault="00DC5C16" w:rsidP="00407FCD">
      <w:pPr>
        <w:rPr>
          <w:rFonts w:ascii="Arial" w:hAnsi="Arial" w:cs="Arial"/>
          <w:i w:val="0"/>
          <w:lang w:val="cs-CZ"/>
        </w:rPr>
      </w:pPr>
    </w:p>
    <w:p w:rsidR="00DC5C16" w:rsidRPr="008F03F6" w:rsidRDefault="00DC5C16" w:rsidP="00407FCD">
      <w:pPr>
        <w:pStyle w:val="ListParagraph"/>
        <w:ind w:left="360"/>
        <w:rPr>
          <w:rFonts w:ascii="Arial" w:hAnsi="Arial" w:cs="Arial"/>
          <w:i w:val="0"/>
          <w:sz w:val="32"/>
          <w:szCs w:val="32"/>
          <w:lang w:val="cs-CZ"/>
        </w:rPr>
      </w:pPr>
      <w:r w:rsidRPr="008F03F6">
        <w:rPr>
          <w:rFonts w:ascii="Arial" w:hAnsi="Arial" w:cs="Arial"/>
          <w:b/>
          <w:i w:val="0"/>
          <w:sz w:val="32"/>
          <w:szCs w:val="32"/>
          <w:lang w:val="cs-CZ"/>
        </w:rPr>
        <w:t>Expertní poradce TRADE spolupracuje se sadou skriptů a umožňuje Vám tyto možnosti při ručním obchodování</w:t>
      </w:r>
      <w:r w:rsidRPr="008F03F6">
        <w:rPr>
          <w:rFonts w:ascii="Arial" w:hAnsi="Arial" w:cs="Arial"/>
          <w:i w:val="0"/>
          <w:sz w:val="32"/>
          <w:szCs w:val="32"/>
          <w:lang w:val="cs-CZ"/>
        </w:rPr>
        <w:t>:</w:t>
      </w:r>
    </w:p>
    <w:p w:rsidR="00DC5C16" w:rsidRPr="008F03F6" w:rsidRDefault="00DC5C16" w:rsidP="00407FCD">
      <w:pPr>
        <w:pStyle w:val="ListParagraph"/>
        <w:ind w:left="360"/>
        <w:rPr>
          <w:rFonts w:ascii="Arial" w:hAnsi="Arial" w:cs="Arial"/>
          <w:i w:val="0"/>
          <w:sz w:val="32"/>
          <w:szCs w:val="32"/>
          <w:lang w:val="cs-CZ"/>
        </w:rPr>
      </w:pPr>
    </w:p>
    <w:p w:rsidR="00DC5C16" w:rsidRPr="008F03F6" w:rsidRDefault="00DC5C16" w:rsidP="00407FCD">
      <w:pPr>
        <w:pStyle w:val="ListParagraph"/>
        <w:numPr>
          <w:ilvl w:val="0"/>
          <w:numId w:val="1"/>
        </w:numPr>
        <w:rPr>
          <w:rFonts w:ascii="Arial" w:hAnsi="Arial" w:cs="Arial"/>
          <w:i w:val="0"/>
          <w:sz w:val="32"/>
          <w:szCs w:val="32"/>
          <w:lang w:val="cs-CZ"/>
        </w:rPr>
      </w:pPr>
      <w:r w:rsidRPr="008F03F6">
        <w:rPr>
          <w:rFonts w:ascii="Arial" w:hAnsi="Arial" w:cs="Arial"/>
          <w:i w:val="0"/>
          <w:sz w:val="32"/>
          <w:szCs w:val="32"/>
          <w:lang w:val="cs-CZ"/>
        </w:rPr>
        <w:t>Automatizovaný Money Management s volitelnými možnostmi</w:t>
      </w:r>
    </w:p>
    <w:p w:rsidR="00DC5C16" w:rsidRPr="008F03F6" w:rsidRDefault="00DC5C16" w:rsidP="00407FCD">
      <w:pPr>
        <w:pStyle w:val="ListParagraph"/>
        <w:ind w:left="708"/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Všechny parametry v Money Management jsou volitelné. Jejich změnou, případně vynecháním je možné použít jednoduchý MM Fixed Trade s konstantní velikostí obchodu, až po komplexní MM na báze Fixed Risk s uvedenými vlastnostmi: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Výpočet velikost obchodu podle požadovaných parametrů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Požadované riziko na otvíraný obchod jako % z účtu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Velikost požadovaného Stop Loss upravená graficky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 xml:space="preserve">Disponibilní část účtu je tvořená volnými prostředky a zajištěnými Stop Loss. Volný Balance je snižovaný po každém otevřeném obchodě o sumu, vázanou v Stop Loss. Zvyšovaní je po dosažení Break Even anebo posune SL za úroveň BE. 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Přepočet lotů při změně Stop Loss u čekající objednávky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Při přesunu Stop Loss myší anebo automaticky podle přímky je přepočítaná velikost obchodu tak, aby zůstalo zachované požadované riziko na otvíraný obchod jako % z účtu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Změna Stop Loss a následný přepočet velikosti obchodu se uskutečňuje také při posunu čekající objednávky myší anebo automaticky podle přímky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Ošetření DrawDown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Maximální DrowDown z obchodovaného indexu. Největší počet akceptovaných souvislých ztrát za sebou (DD) je sledovaný pro každý obchodovatelný index samostatně. Velikost otvíraného obchodu je snižovaná podle počtu ztrát za sebou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Sledování Free Margin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 xml:space="preserve">Sleduje se velikost Free Margin s volitelným limitem jeho využití v %. velikost obchodu v LOTech je přepočítaná tak, aby bylo dodržené zadané maximální procento FM 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Ošetření přeobchodování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Kontrola celkového rizika portfolia otevřených obchodů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Sledování zajišťování otevřených obchodů pomocí Stop Loss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Obchodování jen s rizikem volné disponibilní částky účtu</w:t>
      </w:r>
    </w:p>
    <w:p w:rsidR="00DC5C16" w:rsidRPr="008F03F6" w:rsidRDefault="00DC5C16" w:rsidP="00407FCD">
      <w:pPr>
        <w:pStyle w:val="ListParagraph"/>
        <w:rPr>
          <w:rFonts w:ascii="Arial" w:hAnsi="Arial" w:cs="Arial"/>
          <w:i w:val="0"/>
          <w:lang w:val="cs-CZ"/>
        </w:rPr>
      </w:pPr>
    </w:p>
    <w:p w:rsidR="00DC5C16" w:rsidRPr="008F03F6" w:rsidRDefault="00DC5C16" w:rsidP="00407FCD">
      <w:pPr>
        <w:pStyle w:val="ListParagraph"/>
        <w:numPr>
          <w:ilvl w:val="0"/>
          <w:numId w:val="1"/>
        </w:numPr>
        <w:rPr>
          <w:rFonts w:ascii="Arial" w:hAnsi="Arial" w:cs="Arial"/>
          <w:i w:val="0"/>
          <w:sz w:val="32"/>
          <w:szCs w:val="32"/>
          <w:lang w:val="cs-CZ"/>
        </w:rPr>
      </w:pPr>
      <w:r w:rsidRPr="008F03F6">
        <w:rPr>
          <w:rFonts w:ascii="Arial" w:hAnsi="Arial" w:cs="Arial"/>
          <w:i w:val="0"/>
          <w:sz w:val="32"/>
          <w:szCs w:val="32"/>
          <w:lang w:val="cs-CZ"/>
        </w:rPr>
        <w:t>Obchodování z grafu myší</w:t>
      </w:r>
    </w:p>
    <w:p w:rsidR="00DC5C16" w:rsidRPr="008F03F6" w:rsidRDefault="00DC5C16" w:rsidP="00407FCD">
      <w:pPr>
        <w:pStyle w:val="ListParagraph"/>
        <w:ind w:left="708"/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Pomocí tahání skriptů myší a puštěním skriptu na plochu grafu (Drag&amp;Drop) dosáhnete :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Otvírání obchodů a vytváření čekajících objednávek</w:t>
      </w:r>
    </w:p>
    <w:p w:rsidR="00DC5C16" w:rsidRPr="008F03F6" w:rsidRDefault="00DC5C16" w:rsidP="00407FCD">
      <w:pPr>
        <w:pStyle w:val="ListParagraph"/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Pro otvírání obchodů i vytváření čekajících objednávek se používá jeden skript. Či se vytvoří objednávka anebo se otevře obchod určuje poloha jeho puštění na plochu grafu.</w:t>
      </w:r>
    </w:p>
    <w:p w:rsidR="00DC5C16" w:rsidRPr="008F03F6" w:rsidRDefault="00DC5C16" w:rsidP="00407FCD">
      <w:pPr>
        <w:pStyle w:val="ListParagraph"/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Velikost obchodu se vypočte podle hodnot zadaných v parametrech  Money Management v EA TRADE.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Uzavření obchodů a mazání čekajících objednávek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Který obchod bude uzavřený anebo objednávka smazaná se určuje ukázáním myší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Obchody a objednávky je možné mazat i hromadně po vícerých naraz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Přesun úrovní Stop Loss , Take Profit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Otevřenému obchodu anebo čekající objednávce se vytvoří značka anebo úsečka. Její posun mění velikost Stop Loss a Take Profit u brokera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Přesun úrovně Open Price u čekajících objednávek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Polohu čekající objednávky je možné upravovat myší shodným způsobem jako změnu Stop Loss a Take Profit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Průběžný přepočet a změna velikosti obchodu v čekajících objednávkách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Po změně Stop Loss anebo Open Price se upravuje velikost obchodu podle požadovaného rizika a dalších parametrů z Money Management</w:t>
      </w:r>
    </w:p>
    <w:p w:rsidR="00DC5C16" w:rsidRPr="008F03F6" w:rsidRDefault="00DC5C16" w:rsidP="00407FCD">
      <w:pPr>
        <w:pStyle w:val="ListParagraph"/>
        <w:ind w:left="1080"/>
        <w:rPr>
          <w:rFonts w:ascii="Arial" w:hAnsi="Arial" w:cs="Arial"/>
          <w:i w:val="0"/>
          <w:lang w:val="cs-CZ"/>
        </w:rPr>
      </w:pPr>
    </w:p>
    <w:p w:rsidR="00DC5C16" w:rsidRPr="008F03F6" w:rsidRDefault="00DC5C16" w:rsidP="00407FCD">
      <w:pPr>
        <w:pStyle w:val="ListParagraph"/>
        <w:numPr>
          <w:ilvl w:val="0"/>
          <w:numId w:val="1"/>
        </w:numPr>
        <w:rPr>
          <w:rFonts w:ascii="Arial" w:hAnsi="Arial" w:cs="Arial"/>
          <w:i w:val="0"/>
          <w:sz w:val="32"/>
          <w:szCs w:val="32"/>
          <w:lang w:val="cs-CZ"/>
        </w:rPr>
      </w:pPr>
      <w:r w:rsidRPr="008F03F6">
        <w:rPr>
          <w:rFonts w:ascii="Arial" w:hAnsi="Arial" w:cs="Arial"/>
          <w:i w:val="0"/>
          <w:sz w:val="32"/>
          <w:szCs w:val="32"/>
          <w:lang w:val="cs-CZ"/>
        </w:rPr>
        <w:t>Automatizovaný posun cenových úrovní podle přímky</w:t>
      </w:r>
    </w:p>
    <w:p w:rsidR="00DC5C16" w:rsidRPr="008F03F6" w:rsidRDefault="00DC5C16" w:rsidP="00407FCD">
      <w:pPr>
        <w:pStyle w:val="ListParagraph"/>
        <w:ind w:left="708"/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Posun cenových úrovní se dosáhne naklopením přímky / úsečky spojené se Stop Loss , Take Profit a Open Price pomoci myši. Při přesunu úsečky po ploše grafu se umístní SL, TP , OP na pozici bodu úsečky v aktuálním čase – na pravé straně grafu. Plynutím času se uvedené cenové hladiny u brokera udržují v tomto bodě automatizované. Posouvání hladin u brokera je po přijatelně malých změnách.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Posun Stop Loss a Take Profit při otevřených obchodech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Posun OP při čekajících objednávkách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Automatizovaný přepočet velikosti obchodu podle SL při čekajících objednávkách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Při změně polohy Stop Loss a / anebo Open Price automatizovaným posunem podle přímky se přepočítává velikost obchodu automaticky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Při vypočtech velikosti obchodu po změně Stop Loss se berou v úvahu parametry zadané v Money Management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Udržování konstantního R v otevřených obchodech při změně Stop Loss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Při změně Stop Loss podle přímky je možné požadovat zároveň automatickou změnu Take Profit tak, aby zůstal poměr R dodržený.</w:t>
      </w:r>
    </w:p>
    <w:p w:rsidR="00DC5C16" w:rsidRPr="008F03F6" w:rsidRDefault="00DC5C16" w:rsidP="00407FCD">
      <w:pPr>
        <w:pStyle w:val="ListParagraph"/>
        <w:ind w:left="1080"/>
        <w:rPr>
          <w:rFonts w:ascii="Arial" w:hAnsi="Arial" w:cs="Arial"/>
          <w:i w:val="0"/>
          <w:lang w:val="cs-CZ"/>
        </w:rPr>
      </w:pPr>
    </w:p>
    <w:p w:rsidR="00DC5C16" w:rsidRPr="008F03F6" w:rsidRDefault="00DC5C16" w:rsidP="00407FCD">
      <w:pPr>
        <w:pStyle w:val="ListParagraph"/>
        <w:numPr>
          <w:ilvl w:val="0"/>
          <w:numId w:val="1"/>
        </w:numPr>
        <w:rPr>
          <w:rFonts w:ascii="Arial" w:hAnsi="Arial" w:cs="Arial"/>
          <w:i w:val="0"/>
          <w:sz w:val="32"/>
          <w:szCs w:val="32"/>
          <w:lang w:val="cs-CZ"/>
        </w:rPr>
      </w:pPr>
      <w:r w:rsidRPr="008F03F6">
        <w:rPr>
          <w:rFonts w:ascii="Arial" w:hAnsi="Arial" w:cs="Arial"/>
          <w:i w:val="0"/>
          <w:sz w:val="32"/>
          <w:szCs w:val="32"/>
          <w:lang w:val="cs-CZ"/>
        </w:rPr>
        <w:t>Objednávky OCO</w:t>
      </w:r>
    </w:p>
    <w:p w:rsidR="00DC5C16" w:rsidRPr="008F03F6" w:rsidRDefault="00DC5C16" w:rsidP="00407FCD">
      <w:pPr>
        <w:pStyle w:val="ListParagraph"/>
        <w:ind w:left="708"/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OCO skupina (One Cancels the Others) je rozšíření možností běžného příkazu OCO používaného v jiných obchodných platformách. O možnosti:</w:t>
      </w:r>
    </w:p>
    <w:p w:rsidR="00DC5C16" w:rsidRPr="008F03F6" w:rsidRDefault="00DC5C16" w:rsidP="00407FCD">
      <w:pPr>
        <w:pStyle w:val="ListParagraph"/>
        <w:ind w:left="708"/>
        <w:rPr>
          <w:rFonts w:ascii="Arial" w:hAnsi="Arial" w:cs="Arial"/>
          <w:i w:val="0"/>
          <w:lang w:val="cs-CZ"/>
        </w:rPr>
      </w:pP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Vytváření OCO skupin myší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 xml:space="preserve">Podle místa, kam je puštěný skript otvírající  čekající objednávku se zařadí / nezařadí do skupiny OCO. 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Je umožněné vytvářet víc nezávislých skupin OCO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Vytváření skupin OCO z vícerých čekajících objednávek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V OCO skupině je možné umístnit víc čekajících objednávek než jen 2 běžné.  V okamžiku, když je jedna z čekajících objednávek aktivovaná na market obchod jsou ostatní ze skupiny vymazané.</w:t>
      </w:r>
    </w:p>
    <w:p w:rsidR="00DC5C16" w:rsidRPr="008F03F6" w:rsidRDefault="00DC5C16" w:rsidP="00407FCD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sz w:val="28"/>
          <w:szCs w:val="28"/>
          <w:lang w:val="cs-CZ"/>
        </w:rPr>
      </w:pPr>
      <w:r w:rsidRPr="008F03F6">
        <w:rPr>
          <w:rFonts w:ascii="Arial" w:hAnsi="Arial" w:cs="Arial"/>
          <w:i w:val="0"/>
          <w:sz w:val="28"/>
          <w:szCs w:val="28"/>
          <w:lang w:val="cs-CZ"/>
        </w:rPr>
        <w:t>Použití více indexů v jedné skupině OCO</w:t>
      </w:r>
    </w:p>
    <w:p w:rsidR="00DC5C16" w:rsidRPr="008F03F6" w:rsidRDefault="00DC5C16" w:rsidP="00407FCD">
      <w:pPr>
        <w:pStyle w:val="ListParagraph"/>
        <w:numPr>
          <w:ilvl w:val="0"/>
          <w:numId w:val="3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>Doplnění běžného příkazu OCO o možnost otvírat svázané čekající objednávky z více indexů.</w:t>
      </w:r>
    </w:p>
    <w:p w:rsidR="00DC5C16" w:rsidRPr="008F03F6" w:rsidRDefault="00DC5C16" w:rsidP="00407FCD">
      <w:pPr>
        <w:pStyle w:val="ListParagraph"/>
        <w:rPr>
          <w:rFonts w:ascii="Arial" w:hAnsi="Arial" w:cs="Arial"/>
          <w:i w:val="0"/>
          <w:lang w:val="cs-CZ"/>
        </w:rPr>
      </w:pPr>
    </w:p>
    <w:p w:rsidR="00DC5C16" w:rsidRPr="008F03F6" w:rsidRDefault="00DC5C16" w:rsidP="00407FCD">
      <w:pPr>
        <w:rPr>
          <w:rFonts w:ascii="Arial" w:hAnsi="Arial" w:cs="Arial"/>
          <w:i w:val="0"/>
          <w:lang w:val="cs-CZ"/>
        </w:rPr>
      </w:pPr>
    </w:p>
    <w:p w:rsidR="00DC5C16" w:rsidRPr="008F03F6" w:rsidRDefault="00DC5C16" w:rsidP="00407FCD">
      <w:pPr>
        <w:pStyle w:val="ListParagraph"/>
        <w:ind w:left="0"/>
        <w:rPr>
          <w:rFonts w:ascii="Arial" w:hAnsi="Arial" w:cs="Arial"/>
          <w:b/>
          <w:i w:val="0"/>
          <w:sz w:val="32"/>
          <w:szCs w:val="32"/>
          <w:lang w:val="cs-CZ"/>
        </w:rPr>
      </w:pPr>
      <w:r w:rsidRPr="008F03F6">
        <w:rPr>
          <w:rFonts w:ascii="Arial" w:hAnsi="Arial" w:cs="Arial"/>
          <w:b/>
          <w:i w:val="0"/>
          <w:sz w:val="32"/>
          <w:szCs w:val="32"/>
          <w:lang w:val="cs-CZ"/>
        </w:rPr>
        <w:t>Úplné informace se dozvíte z jednotlivých specifikací</w:t>
      </w:r>
    </w:p>
    <w:p w:rsidR="00DC5C16" w:rsidRPr="008F03F6" w:rsidRDefault="00DC5C16" w:rsidP="0007471C">
      <w:pPr>
        <w:pStyle w:val="ListParagraph"/>
        <w:ind w:left="0"/>
        <w:rPr>
          <w:rFonts w:ascii="Arial" w:hAnsi="Arial" w:cs="Arial"/>
          <w:b/>
          <w:i w:val="0"/>
          <w:sz w:val="32"/>
          <w:szCs w:val="32"/>
          <w:lang w:val="cs-CZ"/>
        </w:rPr>
      </w:pPr>
      <w:r w:rsidRPr="008F03F6">
        <w:rPr>
          <w:rFonts w:ascii="Arial" w:hAnsi="Arial" w:cs="Arial"/>
          <w:b/>
          <w:i w:val="0"/>
          <w:sz w:val="32"/>
          <w:szCs w:val="32"/>
          <w:lang w:val="cs-CZ"/>
        </w:rPr>
        <w:t>Všechny se nacházejí v</w:t>
      </w:r>
      <w:r>
        <w:rPr>
          <w:rFonts w:ascii="Arial" w:hAnsi="Arial" w:cs="Arial"/>
          <w:b/>
          <w:i w:val="0"/>
          <w:sz w:val="32"/>
          <w:szCs w:val="32"/>
          <w:lang w:val="cs-CZ"/>
        </w:rPr>
        <w:t> záložkách za</w:t>
      </w:r>
      <w:r w:rsidRPr="008F03F6">
        <w:rPr>
          <w:rFonts w:ascii="Arial" w:hAnsi="Arial" w:cs="Arial"/>
          <w:b/>
          <w:i w:val="0"/>
          <w:sz w:val="32"/>
          <w:szCs w:val="32"/>
          <w:lang w:val="cs-CZ"/>
        </w:rPr>
        <w:t xml:space="preserve"> DOC</w:t>
      </w:r>
    </w:p>
    <w:p w:rsidR="00DC5C16" w:rsidRPr="008F03F6" w:rsidRDefault="00DC5C16" w:rsidP="00407FCD">
      <w:pPr>
        <w:pStyle w:val="ListParagraph"/>
        <w:ind w:left="0"/>
        <w:rPr>
          <w:rFonts w:ascii="Arial" w:hAnsi="Arial" w:cs="Arial"/>
          <w:i w:val="0"/>
          <w:sz w:val="28"/>
          <w:szCs w:val="28"/>
          <w:lang w:val="cs-CZ"/>
        </w:rPr>
      </w:pP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r w:rsidRPr="008F03F6">
        <w:rPr>
          <w:rFonts w:ascii="Arial" w:hAnsi="Arial" w:cs="Arial"/>
          <w:i w:val="0"/>
          <w:lang w:val="cs-CZ"/>
        </w:rPr>
        <w:t xml:space="preserve">Expertní poradce </w:t>
      </w:r>
      <w:hyperlink r:id="rId5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TRADE</w:t>
        </w:r>
      </w:hyperlink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6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Entry</w:t>
        </w:r>
      </w:hyperlink>
      <w:r w:rsidRPr="008F03F6">
        <w:rPr>
          <w:rFonts w:ascii="Arial" w:hAnsi="Arial" w:cs="Arial"/>
          <w:i w:val="0"/>
          <w:lang w:val="cs-CZ"/>
        </w:rPr>
        <w:t xml:space="preserve"> – skript na otvírání obchodů a vytváření čekajících objednávek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7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cls</w:t>
        </w:r>
      </w:hyperlink>
      <w:r w:rsidRPr="008F03F6">
        <w:rPr>
          <w:rFonts w:ascii="Arial" w:hAnsi="Arial" w:cs="Arial"/>
          <w:i w:val="0"/>
          <w:lang w:val="cs-CZ"/>
        </w:rPr>
        <w:t xml:space="preserve"> – (close) skript zavření obchodu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8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clsA</w:t>
        </w:r>
      </w:hyperlink>
      <w:r w:rsidRPr="008F03F6">
        <w:rPr>
          <w:rFonts w:ascii="Arial" w:hAnsi="Arial" w:cs="Arial"/>
          <w:i w:val="0"/>
          <w:lang w:val="cs-CZ"/>
        </w:rPr>
        <w:t xml:space="preserve"> – (close all) skript na zavření více obchodů naraz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9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del</w:t>
        </w:r>
      </w:hyperlink>
      <w:r w:rsidRPr="008F03F6">
        <w:rPr>
          <w:rFonts w:ascii="Arial" w:hAnsi="Arial" w:cs="Arial"/>
          <w:i w:val="0"/>
          <w:lang w:val="cs-CZ"/>
        </w:rPr>
        <w:t xml:space="preserve"> – (delete) skript na vymazání čekající objednávky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10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delA</w:t>
        </w:r>
      </w:hyperlink>
      <w:r w:rsidRPr="008F03F6">
        <w:rPr>
          <w:rFonts w:ascii="Arial" w:hAnsi="Arial" w:cs="Arial"/>
          <w:i w:val="0"/>
          <w:lang w:val="cs-CZ"/>
        </w:rPr>
        <w:t xml:space="preserve"> – (delete all) skript na vymazání více čekajících objednávek naráz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11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set_exit</w:t>
        </w:r>
      </w:hyperlink>
      <w:r w:rsidRPr="008F03F6">
        <w:rPr>
          <w:rFonts w:ascii="Arial" w:hAnsi="Arial" w:cs="Arial"/>
          <w:i w:val="0"/>
          <w:lang w:val="cs-CZ"/>
        </w:rPr>
        <w:t xml:space="preserve"> - Nastavuje parametre, které určují způsob funkce skriptů cls, del, clsA, delA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12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set_entry</w:t>
        </w:r>
      </w:hyperlink>
      <w:r w:rsidRPr="008F03F6">
        <w:rPr>
          <w:rFonts w:ascii="Arial" w:hAnsi="Arial" w:cs="Arial"/>
          <w:i w:val="0"/>
          <w:lang w:val="cs-CZ"/>
        </w:rPr>
        <w:t xml:space="preserve"> - Nastavuje parametre, které určují způsob funkce skriptu entry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13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SR</w:t>
        </w:r>
      </w:hyperlink>
      <w:r w:rsidRPr="008F03F6">
        <w:rPr>
          <w:rFonts w:ascii="Arial" w:hAnsi="Arial" w:cs="Arial"/>
          <w:i w:val="0"/>
          <w:lang w:val="cs-CZ"/>
        </w:rPr>
        <w:t xml:space="preserve"> - (suport/rezistence) statistický indikátor určuje S/R body obratu trhu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14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LSTL</w:t>
        </w:r>
      </w:hyperlink>
      <w:r w:rsidRPr="008F03F6">
        <w:rPr>
          <w:rFonts w:ascii="Arial" w:hAnsi="Arial" w:cs="Arial"/>
          <w:i w:val="0"/>
          <w:lang w:val="cs-CZ"/>
        </w:rPr>
        <w:t xml:space="preserve"> - (Least Square Trend Line) statistický indikátor zobrazující souboj býků s medvědy</w:t>
      </w:r>
    </w:p>
    <w:p w:rsidR="00DC5C16" w:rsidRPr="008F03F6" w:rsidRDefault="00DC5C16" w:rsidP="006D3B3B">
      <w:pPr>
        <w:pStyle w:val="ListParagraph"/>
        <w:numPr>
          <w:ilvl w:val="0"/>
          <w:numId w:val="2"/>
        </w:numPr>
        <w:rPr>
          <w:rFonts w:ascii="Arial" w:hAnsi="Arial" w:cs="Arial"/>
          <w:i w:val="0"/>
          <w:lang w:val="cs-CZ"/>
        </w:rPr>
      </w:pPr>
      <w:hyperlink r:id="rId15" w:history="1">
        <w:r w:rsidRPr="008F03F6">
          <w:rPr>
            <w:rStyle w:val="Hyperlink"/>
            <w:rFonts w:ascii="Arial" w:hAnsi="Arial" w:cs="Arial"/>
            <w:b/>
            <w:i w:val="0"/>
            <w:lang w:val="cs-CZ"/>
          </w:rPr>
          <w:t>LSPF_1</w:t>
        </w:r>
      </w:hyperlink>
      <w:r w:rsidRPr="008F03F6">
        <w:rPr>
          <w:rFonts w:ascii="Arial" w:hAnsi="Arial" w:cs="Arial"/>
          <w:i w:val="0"/>
          <w:lang w:val="cs-CZ"/>
        </w:rPr>
        <w:t xml:space="preserve"> -  (Least Square Polynomial Fitting) indikátor pro polynomickou regresi</w:t>
      </w:r>
    </w:p>
    <w:p w:rsidR="00DC5C16" w:rsidRPr="008F03F6" w:rsidRDefault="00DC5C16" w:rsidP="006D3B3B">
      <w:pPr>
        <w:pStyle w:val="ListParagraph"/>
        <w:ind w:left="1080"/>
        <w:rPr>
          <w:rFonts w:ascii="Arial" w:hAnsi="Arial" w:cs="Arial"/>
          <w:i w:val="0"/>
          <w:lang w:val="cs-CZ"/>
        </w:rPr>
      </w:pPr>
    </w:p>
    <w:sectPr w:rsidR="00DC5C16" w:rsidRPr="008F03F6" w:rsidSect="006D3B3B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55D87"/>
    <w:multiLevelType w:val="hybridMultilevel"/>
    <w:tmpl w:val="16AC0F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39683E"/>
    <w:multiLevelType w:val="hybridMultilevel"/>
    <w:tmpl w:val="BA74A0F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F041F6"/>
    <w:multiLevelType w:val="hybridMultilevel"/>
    <w:tmpl w:val="91E8FE0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A0F6230"/>
    <w:multiLevelType w:val="hybridMultilevel"/>
    <w:tmpl w:val="1AE2D54A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A51"/>
    <w:rsid w:val="00014C85"/>
    <w:rsid w:val="00052D6E"/>
    <w:rsid w:val="00073532"/>
    <w:rsid w:val="0007471C"/>
    <w:rsid w:val="00120B09"/>
    <w:rsid w:val="00137458"/>
    <w:rsid w:val="001570B3"/>
    <w:rsid w:val="001B07A5"/>
    <w:rsid w:val="001B0B37"/>
    <w:rsid w:val="001C754F"/>
    <w:rsid w:val="0020310A"/>
    <w:rsid w:val="002B76BF"/>
    <w:rsid w:val="003535E0"/>
    <w:rsid w:val="003846B0"/>
    <w:rsid w:val="00393147"/>
    <w:rsid w:val="00407FCD"/>
    <w:rsid w:val="00443884"/>
    <w:rsid w:val="004A4A2C"/>
    <w:rsid w:val="00527219"/>
    <w:rsid w:val="005377D5"/>
    <w:rsid w:val="0054176C"/>
    <w:rsid w:val="005555C4"/>
    <w:rsid w:val="006360F0"/>
    <w:rsid w:val="00694755"/>
    <w:rsid w:val="00695DCB"/>
    <w:rsid w:val="006C0E5C"/>
    <w:rsid w:val="006D3B3B"/>
    <w:rsid w:val="00787BD6"/>
    <w:rsid w:val="008F03F6"/>
    <w:rsid w:val="009175FF"/>
    <w:rsid w:val="009268E2"/>
    <w:rsid w:val="009B6A09"/>
    <w:rsid w:val="009B6C6F"/>
    <w:rsid w:val="009F79BC"/>
    <w:rsid w:val="00A44404"/>
    <w:rsid w:val="00A91A96"/>
    <w:rsid w:val="00AF1CFF"/>
    <w:rsid w:val="00B05132"/>
    <w:rsid w:val="00B27CA1"/>
    <w:rsid w:val="00B32D05"/>
    <w:rsid w:val="00C66738"/>
    <w:rsid w:val="00D217C8"/>
    <w:rsid w:val="00D46CBC"/>
    <w:rsid w:val="00D66E89"/>
    <w:rsid w:val="00DC0A51"/>
    <w:rsid w:val="00DC5C16"/>
    <w:rsid w:val="00E24F8D"/>
    <w:rsid w:val="00EF23F8"/>
    <w:rsid w:val="00F44A11"/>
    <w:rsid w:val="00F5093D"/>
    <w:rsid w:val="00F72E51"/>
    <w:rsid w:val="00FC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07FCD"/>
    <w:pPr>
      <w:spacing w:after="200" w:line="288" w:lineRule="auto"/>
    </w:pPr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7FC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7FCD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7FCD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7FCD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7FCD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7FCD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07FCD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07FCD"/>
    <w:pPr>
      <w:spacing w:before="200" w:after="100" w:line="240" w:lineRule="auto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07FCD"/>
    <w:pPr>
      <w:spacing w:before="200" w:after="100" w:line="240" w:lineRule="auto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7FCD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07FCD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07FCD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07FCD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07FCD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07FCD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07FCD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07FCD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07FCD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407FCD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407FCD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407FCD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407FCD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07FCD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407FCD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407FCD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link w:val="NoSpacingChar"/>
    <w:uiPriority w:val="99"/>
    <w:qFormat/>
    <w:rsid w:val="00407FC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9B6A09"/>
    <w:rPr>
      <w:rFonts w:cs="Times New Roman"/>
      <w:i/>
      <w:iCs/>
      <w:sz w:val="20"/>
      <w:szCs w:val="20"/>
    </w:rPr>
  </w:style>
  <w:style w:type="paragraph" w:styleId="ListParagraph">
    <w:name w:val="List Paragraph"/>
    <w:basedOn w:val="Normal"/>
    <w:uiPriority w:val="99"/>
    <w:qFormat/>
    <w:rsid w:val="00407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07FCD"/>
    <w:rPr>
      <w:i w:val="0"/>
      <w:iCs w:val="0"/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407FCD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07FCD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07FCD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407FCD"/>
    <w:rPr>
      <w:rFonts w:ascii="Cambria" w:hAnsi="Cambria" w:cs="Times New Roman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407FCD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407FCD"/>
    <w:rPr>
      <w:rFonts w:cs="Times New Roman"/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407FCD"/>
    <w:rPr>
      <w:rFonts w:cs="Times New Roman"/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407FCD"/>
    <w:rPr>
      <w:rFonts w:ascii="Cambria" w:hAnsi="Cambria" w:cs="Times New Roman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407FCD"/>
    <w:pPr>
      <w:outlineLvl w:val="9"/>
    </w:pPr>
  </w:style>
  <w:style w:type="character" w:styleId="Hyperlink">
    <w:name w:val="Hyperlink"/>
    <w:basedOn w:val="DefaultParagraphFont"/>
    <w:uiPriority w:val="99"/>
    <w:rsid w:val="005377D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87BD6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9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OC/experts/scripts/Specifikace-clsA.doc" TargetMode="External"/><Relationship Id="rId13" Type="http://schemas.openxmlformats.org/officeDocument/2006/relationships/hyperlink" Target="DOC/experts/indicators/Specifikace-indikatoru-SR.doc" TargetMode="External"/><Relationship Id="rId3" Type="http://schemas.openxmlformats.org/officeDocument/2006/relationships/settings" Target="settings.xml"/><Relationship Id="rId7" Type="http://schemas.openxmlformats.org/officeDocument/2006/relationships/hyperlink" Target="DOC/experts/scripts/Specifikace-cls.doc" TargetMode="External"/><Relationship Id="rId12" Type="http://schemas.openxmlformats.org/officeDocument/2006/relationships/hyperlink" Target="DOC/experts/scripts/Specifikace-entry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DOC/experts/scripts/Specifikace-entry.doc" TargetMode="External"/><Relationship Id="rId11" Type="http://schemas.openxmlformats.org/officeDocument/2006/relationships/hyperlink" Target="DOC/experts/scripts/Specifikace-set-exit.doc" TargetMode="External"/><Relationship Id="rId5" Type="http://schemas.openxmlformats.org/officeDocument/2006/relationships/hyperlink" Target="DOC/experts/Specifikace-TRIM-CZ.doc" TargetMode="External"/><Relationship Id="rId15" Type="http://schemas.openxmlformats.org/officeDocument/2006/relationships/hyperlink" Target="DOC/experts/indicators/Specifikace-indikatoru-LSPF-1.doc" TargetMode="External"/><Relationship Id="rId10" Type="http://schemas.openxmlformats.org/officeDocument/2006/relationships/hyperlink" Target="DOC/experts/scripts/Specifikace-delA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DOC/experts/scripts/Specifikace-del.doc" TargetMode="External"/><Relationship Id="rId14" Type="http://schemas.openxmlformats.org/officeDocument/2006/relationships/hyperlink" Target="DOC/experts/indicators/Specifikace-indikatoru-LSTL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1101</Words>
  <Characters>6280</Characters>
  <Application>Microsoft Office Outlook</Application>
  <DocSecurity>0</DocSecurity>
  <Lines>0</Lines>
  <Paragraphs>0</Paragraphs>
  <ScaleCrop>false</ScaleCrop>
  <Company>TRIM Broker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gregus</dc:creator>
  <cp:keywords/>
  <dc:description/>
  <cp:lastModifiedBy>Ron</cp:lastModifiedBy>
  <cp:revision>9</cp:revision>
  <cp:lastPrinted>2012-06-04T14:00:00Z</cp:lastPrinted>
  <dcterms:created xsi:type="dcterms:W3CDTF">2012-06-04T12:55:00Z</dcterms:created>
  <dcterms:modified xsi:type="dcterms:W3CDTF">2012-06-29T15:05:00Z</dcterms:modified>
</cp:coreProperties>
</file>